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center"/>
        <w:rPr>
          <w:rFonts w:ascii="仿宋_GB2312" w:hAnsi="仿宋_GB2312" w:eastAsia="仿宋_GB2312" w:cs="Times New Roman"/>
          <w:sz w:val="32"/>
          <w:szCs w:val="32"/>
        </w:rPr>
      </w:pPr>
    </w:p>
    <w:p>
      <w:pPr>
        <w:adjustRightInd w:val="0"/>
        <w:snapToGrid w:val="0"/>
        <w:spacing w:line="600" w:lineRule="exact"/>
        <w:jc w:val="center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ascii="宋体" w:hAnsi="宋体" w:eastAsia="宋体" w:cs="宋体"/>
          <w:sz w:val="24"/>
          <w:szCs w:val="24"/>
          <w:lang w:eastAsia="zh-CN"/>
        </w:rPr>
        <w:pict>
          <v:shape id="艺术字 7" o:spid="_x0000_s1029" o:spt="136" type="#_x0000_t136" style="position:absolute;left:0pt;margin-left:-2.2pt;margin-top:1.65pt;height:84.75pt;width:436.65pt;z-index:251658240;mso-width-relative:page;mso-height-relative:page;" fillcolor="#FF0000" filled="t" stroked="f" coordsize="21600,21600">
            <v:path/>
            <v:fill on="t" focussize="0,0"/>
            <v:stroke on="f"/>
            <v:imagedata o:title=""/>
            <o:lock v:ext="edit" text="f"/>
            <v:textpath on="t" fitpath="t" trim="t" xscale="f" string="滕州市人民政府办公室文件" style="font-family:华文中宋;font-size:36pt;font-weight:bold;v-text-align:center;"/>
          </v:shape>
        </w:pict>
      </w:r>
    </w:p>
    <w:p>
      <w:pPr>
        <w:adjustRightInd w:val="0"/>
        <w:snapToGrid w:val="0"/>
        <w:spacing w:line="600" w:lineRule="exact"/>
        <w:jc w:val="center"/>
        <w:rPr>
          <w:rFonts w:ascii="仿宋_GB2312" w:hAnsi="仿宋_GB2312" w:eastAsia="仿宋_GB2312" w:cs="Times New Roman"/>
          <w:sz w:val="32"/>
          <w:szCs w:val="32"/>
        </w:rPr>
      </w:pPr>
    </w:p>
    <w:p>
      <w:pPr>
        <w:adjustRightInd w:val="0"/>
        <w:snapToGrid w:val="0"/>
        <w:spacing w:line="600" w:lineRule="exact"/>
        <w:jc w:val="center"/>
        <w:rPr>
          <w:rFonts w:ascii="仿宋_GB2312" w:hAnsi="宋体" w:eastAsia="仿宋_GB2312" w:cs="Times New Roman"/>
          <w:color w:val="000000"/>
          <w:sz w:val="32"/>
          <w:szCs w:val="32"/>
        </w:rPr>
      </w:pPr>
    </w:p>
    <w:p>
      <w:pPr>
        <w:adjustRightInd w:val="0"/>
        <w:snapToGrid w:val="0"/>
        <w:spacing w:line="600" w:lineRule="exact"/>
        <w:jc w:val="center"/>
        <w:rPr>
          <w:rFonts w:ascii="仿宋_GB2312" w:hAnsi="宋体" w:eastAsia="仿宋_GB2312" w:cs="Times New Roman"/>
          <w:color w:val="000000"/>
          <w:sz w:val="32"/>
          <w:szCs w:val="32"/>
        </w:rPr>
      </w:pPr>
    </w:p>
    <w:p>
      <w:pPr>
        <w:adjustRightInd w:val="0"/>
        <w:snapToGrid w:val="0"/>
        <w:spacing w:line="600" w:lineRule="exact"/>
        <w:jc w:val="center"/>
        <w:rPr>
          <w:rFonts w:ascii="仿宋_GB2312" w:hAnsi="宋体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滕政办发〔</w:t>
      </w:r>
      <w:r>
        <w:rPr>
          <w:rFonts w:ascii="仿宋_GB2312" w:hAnsi="宋体" w:eastAsia="仿宋_GB2312" w:cs="仿宋_GB2312"/>
          <w:color w:val="000000"/>
          <w:sz w:val="32"/>
          <w:szCs w:val="32"/>
        </w:rPr>
        <w:t>2018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〕</w:t>
      </w:r>
      <w:r>
        <w:rPr>
          <w:rFonts w:ascii="仿宋_GB2312" w:hAnsi="宋体" w:eastAsia="仿宋_GB2312" w:cs="仿宋_GB2312"/>
          <w:color w:val="000000"/>
          <w:sz w:val="32"/>
          <w:szCs w:val="32"/>
        </w:rPr>
        <w:t>114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号</w:t>
      </w:r>
    </w:p>
    <w:p>
      <w:pPr>
        <w:adjustRightInd w:val="0"/>
        <w:snapToGrid w:val="0"/>
        <w:spacing w:line="800" w:lineRule="exact"/>
        <w:jc w:val="center"/>
        <w:rPr>
          <w:rFonts w:ascii="仿宋_GB2312" w:hAnsi="宋体" w:eastAsia="仿宋_GB2312" w:cs="Times New Roman"/>
          <w:color w:val="000000"/>
          <w:sz w:val="44"/>
          <w:szCs w:val="44"/>
        </w:rPr>
      </w:pPr>
      <w:bookmarkStart w:id="0" w:name="_GoBack"/>
      <w:r>
        <w:rPr>
          <w:rFonts w:ascii="宋体" w:hAnsi="宋体" w:eastAsia="宋体" w:cs="宋体"/>
          <w:sz w:val="24"/>
          <w:szCs w:val="24"/>
          <w:lang w:eastAsia="zh-CN"/>
        </w:rPr>
        <w:pict>
          <v:line id="_x0000_s1030" o:spid="_x0000_s1030" o:spt="20" style="position:absolute;left:0pt;margin-left:3.55pt;margin-top:12.55pt;height:0.05pt;width:405pt;z-index:251658240;mso-width-relative:page;mso-height-relative:page;" stroked="t" coordsize="21600,21600">
            <v:path arrowok="t"/>
            <v:fill focussize="0,0"/>
            <v:stroke weight="2.25pt" color="#FF0000"/>
            <v:imagedata o:title=""/>
            <o:lock v:ext="edit"/>
          </v:line>
        </w:pict>
      </w:r>
      <w:bookmarkEnd w:id="0"/>
    </w:p>
    <w:p>
      <w:pPr>
        <w:adjustRightInd w:val="0"/>
        <w:snapToGrid w:val="0"/>
        <w:spacing w:line="600" w:lineRule="exact"/>
        <w:jc w:val="center"/>
        <w:rPr>
          <w:rFonts w:ascii="方正小标宋简体" w:hAnsi="宋体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color w:val="000000"/>
          <w:sz w:val="44"/>
          <w:szCs w:val="44"/>
        </w:rPr>
        <w:t>滕州市人民政府办公室</w:t>
      </w:r>
    </w:p>
    <w:p>
      <w:pPr>
        <w:adjustRightInd w:val="0"/>
        <w:snapToGrid w:val="0"/>
        <w:spacing w:line="600" w:lineRule="exact"/>
        <w:jc w:val="center"/>
        <w:rPr>
          <w:rFonts w:ascii="方正小标宋简体" w:hAnsi="宋体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color w:val="000000"/>
          <w:sz w:val="44"/>
          <w:szCs w:val="44"/>
        </w:rPr>
        <w:t>关于成立滕州市推进政府职能转变和</w:t>
      </w:r>
    </w:p>
    <w:p>
      <w:pPr>
        <w:adjustRightInd w:val="0"/>
        <w:snapToGrid w:val="0"/>
        <w:spacing w:line="600" w:lineRule="exact"/>
        <w:jc w:val="center"/>
        <w:rPr>
          <w:rFonts w:ascii="方正小标宋简体" w:hAnsi="宋体" w:eastAsia="方正小标宋简体" w:cs="Times New Roman"/>
          <w:color w:val="000000"/>
          <w:sz w:val="44"/>
          <w:szCs w:val="44"/>
        </w:rPr>
      </w:pPr>
      <w:r>
        <w:rPr>
          <w:rFonts w:hint="eastAsia" w:ascii="方正小标宋简体" w:hAnsi="宋体" w:eastAsia="方正小标宋简体" w:cs="方正小标宋简体"/>
          <w:color w:val="000000"/>
          <w:sz w:val="44"/>
          <w:szCs w:val="44"/>
        </w:rPr>
        <w:t>“放管服”改革协调小组的通知</w:t>
      </w:r>
    </w:p>
    <w:p>
      <w:pPr>
        <w:adjustRightInd w:val="0"/>
        <w:snapToGrid w:val="0"/>
        <w:spacing w:line="500" w:lineRule="exact"/>
        <w:jc w:val="center"/>
        <w:rPr>
          <w:rFonts w:ascii="方正小标宋简体" w:hAnsi="宋体" w:eastAsia="方正小标宋简体" w:cs="Times New Roman"/>
          <w:color w:val="000000"/>
          <w:sz w:val="44"/>
          <w:szCs w:val="44"/>
        </w:rPr>
      </w:pPr>
    </w:p>
    <w:p>
      <w:pPr>
        <w:spacing w:line="560" w:lineRule="exact"/>
        <w:rPr>
          <w:rFonts w:ascii="仿宋_GB2312" w:eastAsia="仿宋_GB2312" w:cs="Times New Roman"/>
          <w:spacing w:val="-6"/>
          <w:sz w:val="32"/>
          <w:szCs w:val="32"/>
        </w:rPr>
      </w:pPr>
      <w:r>
        <w:rPr>
          <w:rFonts w:hint="eastAsia" w:ascii="仿宋_GB2312" w:eastAsia="仿宋_GB2312" w:cs="仿宋_GB2312"/>
          <w:spacing w:val="-6"/>
          <w:sz w:val="32"/>
          <w:szCs w:val="32"/>
        </w:rPr>
        <w:t>各镇人民政府、街道办事处，滕州经济开发区管委会，市政府各部门，各企事业单位：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为贯彻落实党的十九大和十九届二中、三中全会精神，深入推进简政放权、放管结合、优化服务改革，加快政府职能深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刻转变，根据省、枣庄市部署要求，市政府决定将滕州市推进</w:t>
      </w:r>
      <w:r>
        <w:rPr>
          <w:rFonts w:hint="eastAsia" w:ascii="仿宋_GB2312" w:hAnsi="仿宋" w:eastAsia="仿宋_GB2312" w:cs="仿宋_GB2312"/>
          <w:sz w:val="32"/>
          <w:szCs w:val="32"/>
        </w:rPr>
        <w:t>政府职能转变领导小组的名称改为滕州市推进政府职能转变和“放管服”改革协调小组（以下简称协调小组），作为市政府议事协调机构。现将有关事项通知如下：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一、协调小组组成人员及主要职责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（一）</w:t>
      </w:r>
      <w:r>
        <w:rPr>
          <w:rFonts w:ascii="楷体_GB2312" w:hAnsi="楷体" w:eastAsia="楷体_GB2312" w:cs="楷体_GB2312"/>
          <w:sz w:val="32"/>
          <w:szCs w:val="32"/>
        </w:rPr>
        <w:t xml:space="preserve"> </w:t>
      </w:r>
      <w:r>
        <w:rPr>
          <w:rFonts w:hint="eastAsia" w:ascii="楷体_GB2312" w:hAnsi="楷体" w:eastAsia="楷体_GB2312" w:cs="楷体_GB2312"/>
          <w:sz w:val="32"/>
          <w:szCs w:val="32"/>
        </w:rPr>
        <w:t>组成人员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　长：</w:t>
      </w:r>
      <w:r>
        <w:rPr>
          <w:rFonts w:hint="eastAsia" w:ascii="仿宋_GB2312" w:hAnsi="仿宋" w:eastAsia="仿宋_GB2312" w:cs="仿宋_GB2312"/>
          <w:sz w:val="32"/>
          <w:szCs w:val="32"/>
        </w:rPr>
        <w:t>刘文强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市委副书记、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市长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left="3358" w:leftChars="304" w:hanging="2720" w:hangingChars="85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  <w:r>
        <w:rPr>
          <w:rFonts w:hint="eastAsia" w:ascii="仿宋_GB2312" w:hAnsi="仿宋" w:eastAsia="仿宋_GB2312" w:cs="仿宋_GB2312"/>
          <w:sz w:val="32"/>
          <w:szCs w:val="32"/>
        </w:rPr>
        <w:t>丁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伟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滕州经济开发区管委会主任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刘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涛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市委常委、市政府常务副市长</w:t>
      </w:r>
    </w:p>
    <w:p>
      <w:pPr>
        <w:tabs>
          <w:tab w:val="left" w:pos="2128"/>
        </w:tabs>
        <w:adjustRightInd w:val="0"/>
        <w:snapToGrid w:val="0"/>
        <w:spacing w:line="600" w:lineRule="exact"/>
        <w:ind w:firstLine="723" w:firstLineChars="226"/>
        <w:rPr>
          <w:rFonts w:ascii="仿宋_GB2312" w:hAnsi="仿宋" w:eastAsia="仿宋_GB2312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成　员：</w:t>
      </w:r>
      <w:r>
        <w:rPr>
          <w:rFonts w:hint="eastAsia" w:ascii="仿宋_GB2312" w:hAnsi="仿宋" w:eastAsia="仿宋_GB2312" w:cs="仿宋_GB2312"/>
          <w:sz w:val="32"/>
          <w:szCs w:val="32"/>
        </w:rPr>
        <w:t>邢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军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市政府党组成员、办公室主任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pacing w:val="-6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刘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东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</w:t>
      </w:r>
      <w:r>
        <w:rPr>
          <w:rFonts w:hint="eastAsia" w:ascii="仿宋_GB2312" w:hAnsi="仿宋" w:eastAsia="仿宋_GB2312" w:cs="仿宋_GB2312"/>
          <w:spacing w:val="-6"/>
          <w:sz w:val="32"/>
          <w:szCs w:val="32"/>
        </w:rPr>
        <w:t>政府办公室副主任、市政务服务中心</w:t>
      </w:r>
    </w:p>
    <w:p>
      <w:pPr>
        <w:adjustRightInd w:val="0"/>
        <w:snapToGrid w:val="0"/>
        <w:spacing w:line="600" w:lineRule="exact"/>
        <w:ind w:firstLine="3264" w:firstLineChars="10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管理办公室主任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段修进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市委组织部副部长、市编办主任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李文阁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市政府法制办公室主任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刘玉继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市委市政府督查局局长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翟传虎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市发展和改革局局长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王印德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市经济和信息化局局长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刘金山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市教育局局长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董鸿洋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市科学技术局局长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魏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超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市民政局局长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鲁开峰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市司法局局长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孔繁华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市财政局党组书记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朱绍邦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市人力资源和社会保障局局长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马兆鹏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市国土资源局局长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朱秋原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市住房和城乡建设局局长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张玉法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市交通运输局局长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李长瑞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市水利和渔业局局长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李广耀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市农业局局长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奚修志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市商务局局长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贾福军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市旅游和服务业发展局局长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孟祥磊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市卫生和计划生育局局长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张子玉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市市场监督管理局局长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孙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勇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市食品药品监督管理局局长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赵忠宇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市环境保护局局长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刘书巨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市文化广播电视和新闻出版局局长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张志强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市国有资产监督管理局局长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许方彬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国家税务总局滕州市税务局局长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张永正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市金融工作办公室主任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陈亚鲁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市公安局副局长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张勇海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中国人民银行滕州支行行长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（二）主要职责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以习近平新时代中国特色社会主义思想为指导，深入贯彻落实中央、省、市决策部署，围绕推动高质量发展，加快推进政府职能深刻转变，在深化“放管服”改革的基础上，统筹研究推进政府职能转变和“放管服”改革重要领域、关键环节的重大政策措施，研究拟提请市政府常务会议审议的有关重要事项，协调推动解决重点难点问题，指导督促落实改革措施，更大限度激发市场活力、调动人的积极性和社会创造力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协调小组下设精简行政审批组、优化营商环境组、激励创业创新组、深化商事制度改革组、改善社会服务组５个专题组和综合组、法治组、督查组</w:t>
      </w:r>
      <w:r>
        <w:rPr>
          <w:rFonts w:ascii="仿宋_GB2312" w:hAnsi="仿宋" w:eastAsia="仿宋_GB2312" w:cs="仿宋_GB2312"/>
          <w:sz w:val="32"/>
          <w:szCs w:val="32"/>
        </w:rPr>
        <w:t>3</w:t>
      </w:r>
      <w:r>
        <w:rPr>
          <w:rFonts w:hint="eastAsia" w:ascii="仿宋_GB2312" w:hAnsi="仿宋" w:eastAsia="仿宋_GB2312" w:cs="仿宋_GB2312"/>
          <w:sz w:val="32"/>
          <w:szCs w:val="32"/>
        </w:rPr>
        <w:t>个保障组。协调小组办公室暂设在市编办，段修进同志兼任协调小组办公室主任，机构改革完成后根据实际另行调整。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二、协调小组各专题组及主要职责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（一）精简行政审批组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　长：</w:t>
      </w:r>
      <w:r>
        <w:rPr>
          <w:rFonts w:hint="eastAsia" w:ascii="仿宋_GB2312" w:hAnsi="仿宋" w:eastAsia="仿宋_GB2312" w:cs="仿宋_GB2312"/>
          <w:sz w:val="32"/>
          <w:szCs w:val="32"/>
        </w:rPr>
        <w:t>邢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军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市政府党组成员、办公室主任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  <w:r>
        <w:rPr>
          <w:rFonts w:hint="eastAsia" w:ascii="仿宋_GB2312" w:hAnsi="仿宋" w:eastAsia="仿宋_GB2312" w:cs="仿宋_GB2312"/>
          <w:sz w:val="32"/>
          <w:szCs w:val="32"/>
        </w:rPr>
        <w:t>刘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东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市政府办公室副主任、市政务服务中心</w:t>
      </w:r>
    </w:p>
    <w:p>
      <w:pPr>
        <w:adjustRightInd w:val="0"/>
        <w:snapToGrid w:val="0"/>
        <w:spacing w:line="600" w:lineRule="exact"/>
        <w:ind w:firstLine="3200" w:firstLineChars="10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管理办公室主任</w:t>
      </w:r>
    </w:p>
    <w:p>
      <w:pPr>
        <w:adjustRightInd w:val="0"/>
        <w:snapToGrid w:val="0"/>
        <w:spacing w:line="600" w:lineRule="exact"/>
        <w:ind w:firstLine="1920" w:firstLineChars="6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段修进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市委组织部副部长、市编办主任</w:t>
      </w:r>
    </w:p>
    <w:p>
      <w:pPr>
        <w:adjustRightInd w:val="0"/>
        <w:snapToGrid w:val="0"/>
        <w:spacing w:line="600" w:lineRule="exact"/>
        <w:ind w:firstLine="1920" w:firstLineChars="6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李文阁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市政府法制办公室主任</w:t>
      </w:r>
    </w:p>
    <w:p>
      <w:pPr>
        <w:adjustRightInd w:val="0"/>
        <w:snapToGrid w:val="0"/>
        <w:spacing w:line="600" w:lineRule="exact"/>
        <w:ind w:firstLine="1920" w:firstLineChars="6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翟传虎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市发展和改革局局长</w:t>
      </w:r>
    </w:p>
    <w:p>
      <w:pPr>
        <w:adjustRightInd w:val="0"/>
        <w:snapToGrid w:val="0"/>
        <w:spacing w:line="600" w:lineRule="exact"/>
        <w:ind w:firstLine="1920" w:firstLineChars="6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鲁开峰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市司法局局长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朱秋原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市住房和城乡建设局局长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张子玉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市市场监督管理局局长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负责牵头推进市政府行政审批制度改革、投资审批制度改革、工程建设项目审批制度改革。放权方面，协调推进清理和规范各类行政许可等管理事项，继续清理精简投资项目审批、工程建设项目审批、核准等事项，推行区域评估、联合评审、并联审批等。监管方面，规范行政审批行为，审核并督促落实取消下放审批事项的事中事后监管措施。服务方面，协调推进行政审批标准化，打造一体化政务服务平台，推进审批服务便民化，持续开展减证便民行动，提高政府服务质量和效率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（二）优化营商环境组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　长：</w:t>
      </w:r>
      <w:r>
        <w:rPr>
          <w:rFonts w:hint="eastAsia" w:ascii="仿宋_GB2312" w:hAnsi="仿宋" w:eastAsia="仿宋_GB2312" w:cs="仿宋_GB2312"/>
          <w:sz w:val="32"/>
          <w:szCs w:val="32"/>
        </w:rPr>
        <w:t>翟传虎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市发展和改革局局长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  <w:r>
        <w:rPr>
          <w:rFonts w:hint="eastAsia" w:ascii="仿宋_GB2312" w:hAnsi="仿宋" w:eastAsia="仿宋_GB2312" w:cs="仿宋_GB2312"/>
          <w:sz w:val="32"/>
          <w:szCs w:val="32"/>
        </w:rPr>
        <w:t>王印德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市经济和信息化局局长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董鸿洋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市科学技术局局长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孔繁华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市财政局党组书记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马兆鹏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市国土资源局局长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朱秋原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市住房和城乡建设局局长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李长瑞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  <w:r>
        <w:rPr>
          <w:rFonts w:ascii="仿宋_GB2312" w:hAnsi="仿宋" w:eastAsia="仿宋_GB2312" w:cs="仿宋_GB2312"/>
          <w:color w:val="FF0000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_GB2312"/>
          <w:sz w:val="32"/>
          <w:szCs w:val="32"/>
        </w:rPr>
        <w:t>市水利和渔业局局长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奚修志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市商务局局长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张子玉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市市场监督管理局局长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赵忠宇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市环境保护局局长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张勇海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中国人民银行滕州支行行长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负责牵头优化营商环境，提高综合竞争力，打造竞争新优势。放权方面，推进实行统一的市场准入负面清单制度，清理废除妨碍统一市场和公平竞争的各种规定和做法；扩大外资市场准入，促进民间投资，提升贸易便利化水平。监管方面，清理规范审批中介服务，全面推行依清单收费，完善收费监管制度，持续清理规范涉企收费。服务方面，加强产权保护，推动健全知识产权保护体系；加快水电气暖、银行等公用事业领域改革，提升服务质量效率；加强政务诚信建设；建立健全营商环境评价机制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（三）激励创业创新组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　长：</w:t>
      </w:r>
      <w:r>
        <w:rPr>
          <w:rFonts w:hint="eastAsia" w:ascii="仿宋_GB2312" w:hAnsi="仿宋" w:eastAsia="仿宋_GB2312" w:cs="仿宋_GB2312"/>
          <w:sz w:val="32"/>
          <w:szCs w:val="32"/>
        </w:rPr>
        <w:t>翟传虎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市发展和改革局局长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  <w:r>
        <w:rPr>
          <w:rFonts w:hint="eastAsia" w:ascii="仿宋_GB2312" w:hAnsi="仿宋" w:eastAsia="仿宋_GB2312" w:cs="仿宋_GB2312"/>
          <w:sz w:val="32"/>
          <w:szCs w:val="32"/>
        </w:rPr>
        <w:t>王印德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市经济和信息化局局长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刘金山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市教育局局长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董鸿洋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市科学技术局局长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孔繁华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市财政局党组书记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朱绍邦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市人力资源和社会保障局局长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张子玉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市市场监督管理局局长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张志强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市国有资产监督管理局局长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张永正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市金融工作办公室主任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负责牵头推进实施创新驱动发展战略，打造大众创业、万众创新升级版，推进新旧动能接续转换。放权方面，协调推进科研经费使用和管理方式改革创新，赋予高校和科技人员更大自主权，提高创新成果转化效率，激发创业创新活力。监管方面，对新兴产业量身定制包容审慎监管模式和标准规范，坚守安全和质量底线。服务方面，协调推动各类主体融通创新，破解创业创新融资难题；改革分配机制，健全保障体系，促进人才合理流动；深化职业资格管理制度改革，加强就业和技能服务，完善对新就业形态的支持措施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（四）深化商事制度改革组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　长：</w:t>
      </w:r>
      <w:r>
        <w:rPr>
          <w:rFonts w:hint="eastAsia" w:ascii="仿宋_GB2312" w:hAnsi="仿宋" w:eastAsia="仿宋_GB2312" w:cs="仿宋_GB2312"/>
          <w:sz w:val="32"/>
          <w:szCs w:val="32"/>
        </w:rPr>
        <w:t>张子玉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市市场监督管理局局长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  <w:r>
        <w:rPr>
          <w:rFonts w:hint="eastAsia" w:ascii="仿宋_GB2312" w:hAnsi="仿宋" w:eastAsia="仿宋_GB2312" w:cs="仿宋_GB2312"/>
          <w:sz w:val="32"/>
          <w:szCs w:val="32"/>
        </w:rPr>
        <w:t>翟传虎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市发展和改革局局长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张玉法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市交通运输局局长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李广耀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市农业局局长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贾福军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市旅游和服务业发展局局长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赵忠宇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市环境保护局局长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刘书巨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市文化广播电视和新闻出版局局长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84" w:firstLineChars="620"/>
        <w:rPr>
          <w:rFonts w:ascii="仿宋_GB2312" w:hAnsi="仿宋" w:eastAsia="仿宋_GB2312" w:cs="Times New Roman"/>
          <w:sz w:val="32"/>
          <w:szCs w:val="32"/>
          <w:u w:val="single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许方彬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国家税务总局滕州市税务局局长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负责牵头深化商事制度改革，加强和完善市场监管，维护公平竞争市场秩序。放权方面，压缩企业开办时间，全面推开“证照分离”改革，深化“多证合一”改革，推进工业产品生产许可证制度改革，推行简易注销改革。监管方面，健全以“双随机、一公开”监管为基本手段，以重点监管为补充，以信用监管为基础的新型监管机制，推进跨部门联合监管和“互联网＋监管”；规范执法行为和自由裁量权。服务方面，发挥标准</w:t>
      </w:r>
      <w:r>
        <w:rPr>
          <w:rFonts w:hint="eastAsia" w:ascii="仿宋_GB2312" w:hAnsi="仿宋" w:eastAsia="仿宋_GB2312" w:cs="仿宋_GB2312"/>
          <w:spacing w:val="-6"/>
          <w:sz w:val="32"/>
          <w:szCs w:val="32"/>
        </w:rPr>
        <w:t>的引领和规范作用，强化标准体系，健全认证认可检验检测体系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（五）</w:t>
      </w:r>
      <w:r>
        <w:rPr>
          <w:rFonts w:ascii="楷体_GB2312" w:hAnsi="楷体" w:eastAsia="楷体_GB2312" w:cs="楷体_GB2312"/>
          <w:sz w:val="32"/>
          <w:szCs w:val="32"/>
        </w:rPr>
        <w:t xml:space="preserve"> </w:t>
      </w:r>
      <w:r>
        <w:rPr>
          <w:rFonts w:hint="eastAsia" w:ascii="楷体_GB2312" w:hAnsi="楷体" w:eastAsia="楷体_GB2312" w:cs="楷体_GB2312"/>
          <w:sz w:val="32"/>
          <w:szCs w:val="32"/>
        </w:rPr>
        <w:t>改善社会服务组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组　长：</w:t>
      </w:r>
      <w:r>
        <w:rPr>
          <w:rFonts w:hint="eastAsia" w:ascii="仿宋_GB2312" w:hAnsi="仿宋" w:eastAsia="仿宋_GB2312" w:cs="仿宋_GB2312"/>
          <w:sz w:val="32"/>
          <w:szCs w:val="32"/>
        </w:rPr>
        <w:t>邢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军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市政府党组成员、办公室主任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副组长：</w:t>
      </w:r>
      <w:r>
        <w:rPr>
          <w:rFonts w:hint="eastAsia" w:ascii="仿宋_GB2312" w:hAnsi="仿宋" w:eastAsia="仿宋_GB2312" w:cs="仿宋_GB2312"/>
          <w:sz w:val="32"/>
          <w:szCs w:val="32"/>
        </w:rPr>
        <w:t>刘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东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市政府办公室副主任、市政务服务中心</w:t>
      </w:r>
    </w:p>
    <w:p>
      <w:pPr>
        <w:adjustRightInd w:val="0"/>
        <w:snapToGrid w:val="0"/>
        <w:spacing w:line="600" w:lineRule="exact"/>
        <w:ind w:firstLine="3200" w:firstLineChars="10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管理办公室主任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52" w:firstLineChars="61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刘金山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市教育局局长</w:t>
      </w:r>
    </w:p>
    <w:p>
      <w:pPr>
        <w:adjustRightInd w:val="0"/>
        <w:snapToGrid w:val="0"/>
        <w:spacing w:line="600" w:lineRule="exact"/>
        <w:ind w:firstLine="1952" w:firstLineChars="61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魏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超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市民政局局长</w:t>
      </w:r>
    </w:p>
    <w:p>
      <w:pPr>
        <w:adjustRightInd w:val="0"/>
        <w:snapToGrid w:val="0"/>
        <w:spacing w:line="600" w:lineRule="exact"/>
        <w:ind w:firstLine="1952" w:firstLineChars="61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鲁开峰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市司法局局长</w:t>
      </w:r>
    </w:p>
    <w:p>
      <w:pPr>
        <w:adjustRightInd w:val="0"/>
        <w:snapToGrid w:val="0"/>
        <w:spacing w:line="600" w:lineRule="exact"/>
        <w:ind w:firstLine="1952" w:firstLineChars="61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朱绍邦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市人力资源和社会保障局局长</w:t>
      </w:r>
      <w:r>
        <w:rPr>
          <w:rFonts w:ascii="仿宋_GB2312" w:hAnsi="仿宋" w:eastAsia="仿宋_GB2312" w:cs="仿宋_GB2312"/>
          <w:sz w:val="32"/>
          <w:szCs w:val="32"/>
        </w:rPr>
        <w:t xml:space="preserve"> </w:t>
      </w:r>
    </w:p>
    <w:p>
      <w:pPr>
        <w:adjustRightInd w:val="0"/>
        <w:snapToGrid w:val="0"/>
        <w:spacing w:line="600" w:lineRule="exact"/>
        <w:ind w:firstLine="1952" w:firstLineChars="61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孟祥磊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市卫生和计划生育局局长</w:t>
      </w:r>
    </w:p>
    <w:p>
      <w:pPr>
        <w:adjustRightInd w:val="0"/>
        <w:snapToGrid w:val="0"/>
        <w:spacing w:line="600" w:lineRule="exact"/>
        <w:ind w:firstLine="1952" w:firstLineChars="61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陈亚鲁</w:t>
      </w:r>
      <w:r>
        <w:rPr>
          <w:rFonts w:ascii="仿宋_GB2312" w:hAnsi="仿宋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_GB2312"/>
          <w:sz w:val="32"/>
          <w:szCs w:val="32"/>
        </w:rPr>
        <w:t>市公安局副局长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牵头负责协调推进教育、卫生健康、养老、社保以及社会管理等领域“放管服”改革，为人民群众提供便捷高效、公平可及的公共服务。放权方面，协调推进放宽服务业市场准入，调动市场力量增加非基本公共服务供给。监管方面，强化对政府窗口服务的监督，加强公共服务质量监管。服务方面，简化优化民生事项办理流程和手续，推进养老保险、医疗保险等事项异地联网办理；充分运用“互联网＋教育”“互联网＋医疗”等模式，增强优质公共服务资源辐射效应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各专题组的日常工作由组长单位承担。各专题组负责调查研究本领域社会反响大、群众意见集中的问题，协调相关部门对重点难点问题合作攻关，提出改革建议。各专题组的改革建议可在请示市政府分管领导同意后，按程序提交协调小组会议审议。专题组的职责和组成可根据工作需要调整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三、协调小组各保障组及主要职责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（一）综合组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组长由市委组织部副部长、市编办主任段修进担任。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负责协调小组及其办公室的日常工作；负责沟通协调各专题组、保障组工作，联系“放管服”改革工作机制；组织开展政府职能转变和“放管服”改革重大问题调查研究，向协调小组提出工作建议；收集汇总相关信息资料，联系主管部门组织媒体做好政策宣传解读和舆论引导工作；联系有关方面专家</w:t>
      </w:r>
      <w:r>
        <w:rPr>
          <w:rFonts w:ascii="仿宋_GB2312" w:hAnsi="仿宋" w:eastAsia="仿宋_GB2312" w:cs="仿宋_GB2312"/>
          <w:sz w:val="32"/>
          <w:szCs w:val="32"/>
        </w:rPr>
        <w:t>,</w:t>
      </w:r>
      <w:r>
        <w:rPr>
          <w:rFonts w:hint="eastAsia" w:ascii="仿宋_GB2312" w:hAnsi="仿宋" w:eastAsia="仿宋_GB2312" w:cs="仿宋_GB2312"/>
          <w:sz w:val="32"/>
          <w:szCs w:val="32"/>
        </w:rPr>
        <w:t>围绕政府职能转变和“放管服”改革开展理论研究</w:t>
      </w:r>
      <w:r>
        <w:rPr>
          <w:rFonts w:ascii="仿宋_GB2312" w:hAnsi="仿宋" w:eastAsia="仿宋_GB2312" w:cs="仿宋_GB2312"/>
          <w:sz w:val="32"/>
          <w:szCs w:val="32"/>
        </w:rPr>
        <w:t>,</w:t>
      </w:r>
      <w:r>
        <w:rPr>
          <w:rFonts w:hint="eastAsia" w:ascii="仿宋_GB2312" w:hAnsi="仿宋" w:eastAsia="仿宋_GB2312" w:cs="仿宋_GB2312"/>
          <w:sz w:val="32"/>
          <w:szCs w:val="32"/>
        </w:rPr>
        <w:t>提供政策咨询</w:t>
      </w:r>
      <w:r>
        <w:rPr>
          <w:rFonts w:ascii="仿宋_GB2312" w:hAnsi="仿宋" w:eastAsia="仿宋_GB2312" w:cs="仿宋_GB2312"/>
          <w:sz w:val="32"/>
          <w:szCs w:val="32"/>
        </w:rPr>
        <w:t>,</w:t>
      </w:r>
      <w:r>
        <w:rPr>
          <w:rFonts w:hint="eastAsia" w:ascii="仿宋_GB2312" w:hAnsi="仿宋" w:eastAsia="仿宋_GB2312" w:cs="仿宋_GB2312"/>
          <w:sz w:val="32"/>
          <w:szCs w:val="32"/>
        </w:rPr>
        <w:t>对重点改革事项进行第三方评估</w:t>
      </w:r>
      <w:r>
        <w:rPr>
          <w:rFonts w:ascii="仿宋_GB2312" w:hAnsi="仿宋" w:eastAsia="仿宋_GB2312" w:cs="仿宋_GB2312"/>
          <w:sz w:val="32"/>
          <w:szCs w:val="32"/>
        </w:rPr>
        <w:t>,</w:t>
      </w:r>
      <w:r>
        <w:rPr>
          <w:rFonts w:hint="eastAsia" w:ascii="仿宋_GB2312" w:hAnsi="仿宋" w:eastAsia="仿宋_GB2312" w:cs="仿宋_GB2312"/>
          <w:sz w:val="32"/>
          <w:szCs w:val="32"/>
        </w:rPr>
        <w:t>客观公正地提出意见建议。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（二）法治组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组长由市法制办主任李文阁、市司法局局长鲁开峰担任。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负责对政府职能转变和“放管服”改革措施进行规范性文</w:t>
      </w:r>
    </w:p>
    <w:p>
      <w:pPr>
        <w:adjustRightInd w:val="0"/>
        <w:snapToGrid w:val="0"/>
        <w:spacing w:line="600" w:lineRule="exact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件审核，及时提出制修订相关规范性文件的建议方案，推动相</w:t>
      </w:r>
      <w:r>
        <w:rPr>
          <w:rFonts w:hint="eastAsia" w:ascii="仿宋_GB2312" w:hAnsi="仿宋" w:eastAsia="仿宋_GB2312" w:cs="仿宋_GB2312"/>
          <w:spacing w:val="-6"/>
          <w:sz w:val="32"/>
          <w:szCs w:val="32"/>
        </w:rPr>
        <w:t>关规范性文件立改废释工作，及时将成熟的改革经验制度化等。</w:t>
      </w:r>
    </w:p>
    <w:p>
      <w:pPr>
        <w:adjustRightInd w:val="0"/>
        <w:snapToGrid w:val="0"/>
        <w:spacing w:line="600" w:lineRule="exact"/>
        <w:ind w:left="640"/>
        <w:rPr>
          <w:rFonts w:ascii="楷体_GB2312" w:hAnsi="楷体" w:eastAsia="楷体_GB2312" w:cs="Times New Roman"/>
          <w:sz w:val="32"/>
          <w:szCs w:val="32"/>
        </w:rPr>
      </w:pPr>
      <w:r>
        <w:rPr>
          <w:rFonts w:hint="eastAsia" w:ascii="楷体_GB2312" w:hAnsi="楷体" w:eastAsia="楷体_GB2312" w:cs="楷体_GB2312"/>
          <w:sz w:val="32"/>
          <w:szCs w:val="32"/>
        </w:rPr>
        <w:t>（三）督查组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组长由市委市政府督查局局长刘玉继担任。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负责督促检查政府职能转变和“放管服”改革各项措施贯彻落实情况，核查督办各专题组提出的改革中存在的问题，以及社会对有关改革反映强烈的问题。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协调小组成员和各专题组、保障组组长、副组长需要调整的，由所在单位书面向协调小组办公室提出，由综合组按程序报批。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四、有关要求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协调小组要按照中央、省、市决策部署，切实发挥好推进政府职能转变和“放管服”改革的统筹指导和督促落实作用。各专题组和保障组要根据职责分工，细化分阶段重点工作，制定可量化、可考核、有时限的目标任务。对跨领域、跨部门、跨层级的重大问题，要加大研究协调力度，及时督促解决，推动各项改革协同配套、整体推进。要积极发挥首创精神，及时总结上报典型经验做法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市政府各部门要增强大局意识、责任意识、紧迫意识，自觉扛起改革重任，做深化“放管服”改革的表率，坚持问题导向，找准突破口、把握着力点，涉及本部门的改革任务要及早落实，该放的权坚决放，该办的事加快办，该服务的服务好，主动帮助解决实际困难问题，力求在放权上求实效，在监管上求创新，以务实的举措把改革推向纵深。主要负责同志要切实负起领导责任，亲自抓好部署、协调和落实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要持续完善政府职能转变和“放管服”改革推进机制，因地制宜，锐意探索创新，创造更多管用可行的“一招鲜”。要解放思想，主动对标先进，相互学习借鉴，形成竞相推进改革的生动局面，更大程度激发市场活力、增强内生动力、释放内需潜力，推动经济社会持续健康发展。</w:t>
      </w:r>
    </w:p>
    <w:p>
      <w:pPr>
        <w:adjustRightInd w:val="0"/>
        <w:snapToGrid w:val="0"/>
        <w:spacing w:line="600" w:lineRule="exact"/>
        <w:jc w:val="right"/>
        <w:rPr>
          <w:rFonts w:ascii="仿宋_GB2312" w:hAnsi="仿宋" w:eastAsia="仿宋_GB2312" w:cs="Times New Roman"/>
          <w:sz w:val="32"/>
          <w:szCs w:val="32"/>
        </w:rPr>
      </w:pPr>
    </w:p>
    <w:p>
      <w:pPr>
        <w:adjustRightInd w:val="0"/>
        <w:snapToGrid w:val="0"/>
        <w:spacing w:line="600" w:lineRule="exact"/>
        <w:jc w:val="right"/>
        <w:rPr>
          <w:rFonts w:ascii="仿宋_GB2312" w:hAnsi="仿宋" w:eastAsia="仿宋_GB2312" w:cs="Times New Roman"/>
          <w:sz w:val="32"/>
          <w:szCs w:val="32"/>
        </w:rPr>
      </w:pPr>
    </w:p>
    <w:p>
      <w:pPr>
        <w:adjustRightInd w:val="0"/>
        <w:snapToGrid w:val="0"/>
        <w:spacing w:line="600" w:lineRule="exact"/>
        <w:ind w:right="640"/>
        <w:jc w:val="center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                          </w:t>
      </w:r>
      <w:r>
        <w:rPr>
          <w:rFonts w:hint="eastAsia" w:ascii="仿宋_GB2312" w:hAnsi="仿宋" w:eastAsia="仿宋_GB2312" w:cs="仿宋_GB2312"/>
          <w:sz w:val="32"/>
          <w:szCs w:val="32"/>
        </w:rPr>
        <w:t>滕州市人民政府办公室</w:t>
      </w:r>
    </w:p>
    <w:p>
      <w:pPr>
        <w:adjustRightInd w:val="0"/>
        <w:snapToGrid w:val="0"/>
        <w:spacing w:line="600" w:lineRule="exact"/>
        <w:ind w:right="640" w:firstLine="4800" w:firstLineChars="15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2018</w:t>
      </w:r>
      <w:r>
        <w:rPr>
          <w:rFonts w:hint="eastAsia" w:ascii="仿宋_GB2312" w:hAnsi="仿宋" w:eastAsia="仿宋_GB2312" w:cs="仿宋_GB2312"/>
          <w:sz w:val="32"/>
          <w:szCs w:val="32"/>
        </w:rPr>
        <w:t>年</w:t>
      </w:r>
      <w:r>
        <w:rPr>
          <w:rFonts w:ascii="仿宋_GB2312" w:hAnsi="仿宋" w:eastAsia="仿宋_GB2312" w:cs="仿宋_GB2312"/>
          <w:sz w:val="32"/>
          <w:szCs w:val="32"/>
        </w:rPr>
        <w:t>12</w:t>
      </w:r>
      <w:r>
        <w:rPr>
          <w:rFonts w:hint="eastAsia" w:ascii="仿宋_GB2312" w:hAnsi="仿宋" w:eastAsia="仿宋_GB2312" w:cs="仿宋_GB2312"/>
          <w:sz w:val="32"/>
          <w:szCs w:val="32"/>
        </w:rPr>
        <w:t>月</w:t>
      </w:r>
      <w:r>
        <w:rPr>
          <w:rFonts w:ascii="仿宋_GB2312" w:hAnsi="仿宋" w:eastAsia="仿宋_GB2312" w:cs="仿宋_GB2312"/>
          <w:sz w:val="32"/>
          <w:szCs w:val="32"/>
        </w:rPr>
        <w:t>10</w:t>
      </w:r>
      <w:r>
        <w:rPr>
          <w:rFonts w:hint="eastAsia" w:ascii="仿宋_GB2312" w:hAnsi="仿宋" w:eastAsia="仿宋_GB2312" w:cs="仿宋_GB2312"/>
          <w:sz w:val="32"/>
          <w:szCs w:val="32"/>
        </w:rPr>
        <w:t>日</w:t>
      </w:r>
    </w:p>
    <w:p>
      <w:pPr>
        <w:adjustRightInd w:val="0"/>
        <w:snapToGrid w:val="0"/>
        <w:spacing w:line="600" w:lineRule="exact"/>
        <w:rPr>
          <w:rFonts w:ascii="仿宋_GB2312" w:hAnsi="仿宋" w:eastAsia="仿宋_GB2312" w:cs="Times New Roman"/>
          <w:sz w:val="32"/>
          <w:szCs w:val="32"/>
        </w:rPr>
      </w:pPr>
    </w:p>
    <w:p>
      <w:pPr>
        <w:adjustRightInd w:val="0"/>
        <w:snapToGrid w:val="0"/>
        <w:spacing w:line="600" w:lineRule="exact"/>
        <w:rPr>
          <w:rFonts w:ascii="仿宋_GB2312" w:hAnsi="仿宋" w:eastAsia="仿宋_GB2312" w:cs="Times New Roman"/>
          <w:sz w:val="32"/>
          <w:szCs w:val="32"/>
        </w:rPr>
      </w:pPr>
    </w:p>
    <w:p>
      <w:pPr>
        <w:spacing w:line="400" w:lineRule="exact"/>
        <w:jc w:val="right"/>
        <w:rPr>
          <w:rFonts w:ascii="仿宋_GB2312" w:hAnsi="Arial" w:eastAsia="仿宋_GB2312" w:cs="Times New Roman"/>
          <w:color w:val="000000"/>
          <w:sz w:val="32"/>
          <w:szCs w:val="32"/>
        </w:rPr>
      </w:pPr>
      <w:r>
        <w:pict>
          <v:line id="直线 8" o:spid="_x0000_s1026" o:spt="20" style="position:absolute;left:0pt;margin-top:13pt;height:2pt;width:430.85pt;mso-position-horizontal:center;z-index:251658240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</w:p>
    <w:p>
      <w:pPr>
        <w:spacing w:line="400" w:lineRule="exact"/>
        <w:ind w:left="31680" w:hanging="984" w:hangingChars="350"/>
        <w:rPr>
          <w:rFonts w:ascii="仿宋_GB2312" w:eastAsia="仿宋_GB2312" w:cs="Times New Roman"/>
          <w:color w:val="000000"/>
          <w:sz w:val="28"/>
          <w:szCs w:val="28"/>
        </w:rPr>
      </w:pPr>
      <w:r>
        <w:rPr>
          <w:rFonts w:ascii="仿宋_GB2312" w:eastAsia="仿宋_GB2312" w:cs="仿宋_GB2312"/>
          <w:b/>
          <w:bCs/>
          <w:color w:val="000000"/>
          <w:sz w:val="28"/>
          <w:szCs w:val="28"/>
        </w:rPr>
        <w:t xml:space="preserve"> </w:t>
      </w:r>
      <w:r>
        <w:rPr>
          <w:rFonts w:hint="eastAsia" w:ascii="仿宋_GB2312" w:eastAsia="仿宋_GB2312" w:cs="仿宋_GB2312"/>
          <w:b/>
          <w:bCs/>
          <w:color w:val="000000"/>
          <w:sz w:val="28"/>
          <w:szCs w:val="28"/>
        </w:rPr>
        <w:t>抄送：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>市委有关部门，市人大常委会办公室，市政协办公室，</w:t>
      </w:r>
      <w:r>
        <w:rPr>
          <w:rFonts w:hint="eastAsia" w:ascii="仿宋_GB2312" w:eastAsia="仿宋_GB2312" w:cs="仿宋_GB2312"/>
          <w:sz w:val="28"/>
          <w:szCs w:val="28"/>
        </w:rPr>
        <w:t>市监察委，</w: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>市法院，市检察院，市人武部。</w:t>
      </w:r>
    </w:p>
    <w:p>
      <w:pPr>
        <w:spacing w:line="200" w:lineRule="exact"/>
        <w:rPr>
          <w:rFonts w:ascii="仿宋_GB2312" w:eastAsia="仿宋_GB2312" w:cs="仿宋_GB2312"/>
          <w:color w:val="000000"/>
          <w:sz w:val="28"/>
          <w:szCs w:val="28"/>
        </w:rPr>
      </w:pPr>
      <w:r>
        <w:pict>
          <v:line id="直线 9" o:spid="_x0000_s1027" o:spt="20" style="position:absolute;left:0pt;margin-top:3.05pt;height:0pt;width:430.85pt;mso-position-horizontal:center;z-index:251659264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ascii="仿宋_GB2312" w:eastAsia="仿宋_GB2312" w:cs="仿宋_GB2312"/>
          <w:color w:val="000000"/>
          <w:sz w:val="28"/>
          <w:szCs w:val="28"/>
        </w:rPr>
        <w:t xml:space="preserve">    </w:t>
      </w:r>
    </w:p>
    <w:p>
      <w:pPr>
        <w:spacing w:line="400" w:lineRule="exact"/>
        <w:rPr>
          <w:rFonts w:ascii="仿宋_GB2312" w:hAnsi="仿宋_GB2312" w:eastAsia="仿宋_GB2312" w:cs="Times New Roman"/>
          <w:color w:val="000000"/>
          <w:sz w:val="32"/>
          <w:szCs w:val="32"/>
        </w:rPr>
      </w:pPr>
      <w:r>
        <w:pict>
          <v:line id="直线 10" o:spid="_x0000_s1028" o:spt="20" style="position:absolute;left:0pt;margin-top:24.45pt;height:0.6pt;width:430.85pt;mso-position-horizontal:center;z-index:251660288;mso-width-relative:page;mso-height-relative:page;" coordsize="21600,21600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hint="eastAsia" w:ascii="仿宋_GB2312" w:eastAsia="仿宋_GB2312" w:cs="仿宋_GB2312"/>
          <w:color w:val="000000"/>
          <w:sz w:val="28"/>
          <w:szCs w:val="28"/>
        </w:rPr>
        <w:t>滕州市人民政府办公室</w:t>
      </w:r>
      <w:r>
        <w:rPr>
          <w:rFonts w:ascii="仿宋_GB2312" w:eastAsia="仿宋_GB2312" w:cs="仿宋_GB2312"/>
          <w:color w:val="000000"/>
          <w:sz w:val="28"/>
          <w:szCs w:val="28"/>
        </w:rPr>
        <w:t xml:space="preserve">                   </w:t>
      </w:r>
      <w:r>
        <w:rPr>
          <w:rFonts w:ascii="仿宋_GB2312" w:hAnsi="仿宋_GB2312" w:eastAsia="仿宋_GB2312" w:cs="仿宋_GB2312"/>
          <w:color w:val="000000"/>
          <w:sz w:val="28"/>
          <w:szCs w:val="28"/>
        </w:rPr>
        <w:t xml:space="preserve"> 2018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年</w:t>
      </w:r>
      <w:r>
        <w:rPr>
          <w:rFonts w:ascii="仿宋_GB2312" w:hAnsi="仿宋_GB2312" w:eastAsia="仿宋_GB2312" w:cs="仿宋_GB2312"/>
          <w:color w:val="000000"/>
          <w:sz w:val="28"/>
          <w:szCs w:val="28"/>
        </w:rPr>
        <w:t>12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月</w:t>
      </w:r>
      <w:r>
        <w:rPr>
          <w:rFonts w:ascii="仿宋_GB2312" w:hAnsi="仿宋_GB2312" w:eastAsia="仿宋_GB2312" w:cs="仿宋_GB2312"/>
          <w:color w:val="000000"/>
          <w:sz w:val="28"/>
          <w:szCs w:val="28"/>
        </w:rPr>
        <w:t>10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日印发</w:t>
      </w:r>
    </w:p>
    <w:sectPr>
      <w:headerReference r:id="rId3" w:type="default"/>
      <w:footerReference r:id="rId4" w:type="default"/>
      <w:pgSz w:w="11906" w:h="16838"/>
      <w:pgMar w:top="1701" w:right="1701" w:bottom="1701" w:left="1701" w:header="851" w:footer="130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mbria Math">
    <w:panose1 w:val="02040503050406030204"/>
    <w:charset w:val="01"/>
    <w:family w:val="auto"/>
    <w:pitch w:val="variable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cs="宋体"/>
        <w:sz w:val="24"/>
        <w:szCs w:val="24"/>
      </w:rPr>
    </w:pPr>
    <w:r>
      <w:rPr>
        <w:rStyle w:val="6"/>
        <w:rFonts w:ascii="宋体" w:hAnsi="宋体" w:cs="宋体"/>
        <w:sz w:val="24"/>
        <w:szCs w:val="24"/>
      </w:rPr>
      <w:fldChar w:fldCharType="begin"/>
    </w:r>
    <w:r>
      <w:rPr>
        <w:rStyle w:val="6"/>
        <w:rFonts w:ascii="宋体" w:hAnsi="宋体" w:cs="宋体"/>
        <w:sz w:val="24"/>
        <w:szCs w:val="24"/>
      </w:rPr>
      <w:instrText xml:space="preserve">PAGE  </w:instrText>
    </w:r>
    <w:r>
      <w:rPr>
        <w:rStyle w:val="6"/>
        <w:rFonts w:ascii="宋体" w:hAnsi="宋体" w:cs="宋体"/>
        <w:sz w:val="24"/>
        <w:szCs w:val="24"/>
      </w:rPr>
      <w:fldChar w:fldCharType="separate"/>
    </w:r>
    <w:r>
      <w:rPr>
        <w:rStyle w:val="6"/>
        <w:rFonts w:ascii="宋体" w:hAnsi="宋体" w:cs="宋体"/>
        <w:sz w:val="24"/>
        <w:szCs w:val="24"/>
      </w:rPr>
      <w:t>- 3 -</w:t>
    </w:r>
    <w:r>
      <w:rPr>
        <w:rStyle w:val="6"/>
        <w:rFonts w:ascii="宋体" w:hAnsi="宋体" w:cs="宋体"/>
        <w:sz w:val="24"/>
        <w:szCs w:val="24"/>
      </w:rPr>
      <w:fldChar w:fldCharType="end"/>
    </w:r>
  </w:p>
  <w:p>
    <w:pPr>
      <w:pStyle w:val="2"/>
      <w:ind w:right="360" w:firstLine="360"/>
      <w:rPr>
        <w:rFonts w:cs="Times New Roma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cs="Times New Roman"/>
      </w:rPr>
    </w:pPr>
    <w:r>
      <w:rPr>
        <w:rFonts w:cs="Times New Roman"/>
      </w:rPr>
      <w:tab/>
    </w:r>
    <w:r>
      <w:rPr>
        <w:rFonts w:cs="Times New Roman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0CEA"/>
    <w:rsid w:val="00073B96"/>
    <w:rsid w:val="000E0AFA"/>
    <w:rsid w:val="001036E4"/>
    <w:rsid w:val="001065D9"/>
    <w:rsid w:val="001319E9"/>
    <w:rsid w:val="001348FD"/>
    <w:rsid w:val="00136FD3"/>
    <w:rsid w:val="00152D0E"/>
    <w:rsid w:val="001A5AC8"/>
    <w:rsid w:val="001B4744"/>
    <w:rsid w:val="001C07CD"/>
    <w:rsid w:val="001E034D"/>
    <w:rsid w:val="0020069B"/>
    <w:rsid w:val="0025299F"/>
    <w:rsid w:val="00263BA1"/>
    <w:rsid w:val="002B0C30"/>
    <w:rsid w:val="00346EC6"/>
    <w:rsid w:val="00384BF9"/>
    <w:rsid w:val="003B2EB8"/>
    <w:rsid w:val="003E5838"/>
    <w:rsid w:val="003F148F"/>
    <w:rsid w:val="00494352"/>
    <w:rsid w:val="00503B85"/>
    <w:rsid w:val="00552531"/>
    <w:rsid w:val="00576729"/>
    <w:rsid w:val="005D228B"/>
    <w:rsid w:val="005D6D42"/>
    <w:rsid w:val="005D7D61"/>
    <w:rsid w:val="005E5327"/>
    <w:rsid w:val="00672EC6"/>
    <w:rsid w:val="006866BF"/>
    <w:rsid w:val="00691707"/>
    <w:rsid w:val="006945B3"/>
    <w:rsid w:val="006A4EB8"/>
    <w:rsid w:val="006A7726"/>
    <w:rsid w:val="006C616D"/>
    <w:rsid w:val="0072176E"/>
    <w:rsid w:val="007234BB"/>
    <w:rsid w:val="007648A0"/>
    <w:rsid w:val="00765D4F"/>
    <w:rsid w:val="00770A35"/>
    <w:rsid w:val="00801E8B"/>
    <w:rsid w:val="00811E42"/>
    <w:rsid w:val="00823DBE"/>
    <w:rsid w:val="00836BA9"/>
    <w:rsid w:val="00843484"/>
    <w:rsid w:val="008A139B"/>
    <w:rsid w:val="008A66BE"/>
    <w:rsid w:val="0090479A"/>
    <w:rsid w:val="009125D9"/>
    <w:rsid w:val="00A11688"/>
    <w:rsid w:val="00A35C34"/>
    <w:rsid w:val="00A70CEA"/>
    <w:rsid w:val="00A839C0"/>
    <w:rsid w:val="00A909B6"/>
    <w:rsid w:val="00A966C2"/>
    <w:rsid w:val="00AB10D2"/>
    <w:rsid w:val="00AF539A"/>
    <w:rsid w:val="00B4450D"/>
    <w:rsid w:val="00B7276A"/>
    <w:rsid w:val="00BE2500"/>
    <w:rsid w:val="00C136E7"/>
    <w:rsid w:val="00C4711C"/>
    <w:rsid w:val="00C95815"/>
    <w:rsid w:val="00DE161C"/>
    <w:rsid w:val="00E92C7A"/>
    <w:rsid w:val="00EE2FAA"/>
    <w:rsid w:val="00EE528A"/>
    <w:rsid w:val="00F26F57"/>
    <w:rsid w:val="00F62B37"/>
    <w:rsid w:val="00FB6B9A"/>
    <w:rsid w:val="00FE1306"/>
    <w:rsid w:val="3E44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left" w:pos="3099"/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5">
    <w:name w:val="Strong"/>
    <w:basedOn w:val="4"/>
    <w:qFormat/>
    <w:uiPriority w:val="99"/>
    <w:rPr>
      <w:b/>
      <w:bCs/>
    </w:rPr>
  </w:style>
  <w:style w:type="character" w:styleId="6">
    <w:name w:val="page number"/>
    <w:basedOn w:val="4"/>
    <w:qFormat/>
    <w:uiPriority w:val="99"/>
  </w:style>
  <w:style w:type="character" w:customStyle="1" w:styleId="8">
    <w:name w:val="Footer Char"/>
    <w:basedOn w:val="4"/>
    <w:link w:val="2"/>
    <w:qFormat/>
    <w:locked/>
    <w:uiPriority w:val="99"/>
    <w:rPr>
      <w:sz w:val="18"/>
      <w:szCs w:val="18"/>
    </w:rPr>
  </w:style>
  <w:style w:type="character" w:customStyle="1" w:styleId="9">
    <w:name w:val="Header Char"/>
    <w:basedOn w:val="4"/>
    <w:link w:val="3"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30"/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syyw</Company>
  <Pages>10</Pages>
  <Words>655</Words>
  <Characters>3737</Characters>
  <Lines>0</Lines>
  <Paragraphs>0</Paragraphs>
  <TotalTime>62</TotalTime>
  <ScaleCrop>false</ScaleCrop>
  <LinksUpToDate>false</LinksUpToDate>
  <CharactersWithSpaces>0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2018-11-05T03:14:00Z</dcterms:created>
  <dc:creator>lenovo</dc:creator>
  <cp:lastModifiedBy>lenovo</cp:lastModifiedBy>
  <cp:lastPrinted>2018-12-11T07:37:00Z</cp:lastPrinted>
  <dcterms:modified xsi:type="dcterms:W3CDTF">2018-12-12T01:03:47Z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